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57D71" w14:textId="129790D9" w:rsidR="00611559" w:rsidRDefault="00000000">
      <w:pPr>
        <w:pStyle w:val="1"/>
        <w:adjustRightInd w:val="0"/>
        <w:snapToGrid w:val="0"/>
        <w:spacing w:before="0" w:after="0" w:line="579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联合作战人</w:t>
      </w:r>
      <w:r w:rsidR="00DC592C">
        <w:rPr>
          <w:rFonts w:ascii="微软雅黑" w:eastAsia="微软雅黑" w:hAnsi="微软雅黑" w:cs="微软雅黑" w:hint="eastAsia"/>
          <w:sz w:val="36"/>
          <w:szCs w:val="36"/>
        </w:rPr>
        <w:t>人对抗</w:t>
      </w:r>
      <w:r>
        <w:rPr>
          <w:rFonts w:ascii="方正小标宋简体" w:eastAsia="方正小标宋简体" w:hint="eastAsia"/>
          <w:sz w:val="36"/>
          <w:szCs w:val="36"/>
        </w:rPr>
        <w:t>博弈挑战赛评分</w:t>
      </w:r>
      <w:r w:rsidR="00B311ED">
        <w:rPr>
          <w:rFonts w:ascii="微软雅黑" w:eastAsia="微软雅黑" w:hAnsi="微软雅黑" w:cs="微软雅黑" w:hint="eastAsia"/>
          <w:sz w:val="36"/>
          <w:szCs w:val="36"/>
        </w:rPr>
        <w:t>细则与</w:t>
      </w:r>
      <w:r>
        <w:rPr>
          <w:rFonts w:ascii="方正小标宋简体" w:eastAsia="方正小标宋简体" w:hint="eastAsia"/>
          <w:sz w:val="36"/>
          <w:szCs w:val="36"/>
        </w:rPr>
        <w:t>标准</w:t>
      </w:r>
    </w:p>
    <w:p w14:paraId="44AA20BB" w14:textId="77777777" w:rsidR="00611559" w:rsidRDefault="00611559"/>
    <w:p w14:paraId="4DB6871D" w14:textId="77777777" w:rsidR="00611559" w:rsidRDefault="00000000">
      <w:pPr>
        <w:pStyle w:val="2"/>
        <w:adjustRightInd w:val="0"/>
        <w:snapToGrid w:val="0"/>
        <w:spacing w:before="0" w:after="0" w:line="579" w:lineRule="exact"/>
        <w:ind w:firstLineChars="200" w:firstLine="600"/>
        <w:rPr>
          <w:rFonts w:ascii="楷体_GB2312" w:eastAsia="楷体_GB2312" w:hAnsi="黑体" w:hint="eastAsia"/>
          <w:b w:val="0"/>
          <w:bCs w:val="0"/>
          <w:sz w:val="30"/>
          <w:szCs w:val="30"/>
        </w:rPr>
      </w:pPr>
      <w:r>
        <w:rPr>
          <w:rFonts w:ascii="楷体_GB2312" w:eastAsia="楷体_GB2312" w:hAnsi="黑体" w:hint="eastAsia"/>
          <w:b w:val="0"/>
          <w:bCs w:val="0"/>
          <w:sz w:val="30"/>
          <w:szCs w:val="30"/>
        </w:rPr>
        <w:t>一、提交内容</w:t>
      </w:r>
    </w:p>
    <w:p w14:paraId="6E6A53ED" w14:textId="3F665036" w:rsidR="00611559" w:rsidRPr="001A3FC3" w:rsidRDefault="00DB4066" w:rsidP="001A3FC3">
      <w:pPr>
        <w:widowControl/>
        <w:adjustRightInd w:val="0"/>
        <w:snapToGrid w:val="0"/>
        <w:spacing w:line="579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 w:rsidRPr="001A3FC3">
        <w:rPr>
          <w:rFonts w:ascii="仿宋_GB2312" w:eastAsia="仿宋_GB2312" w:hAnsi="黑体" w:hint="eastAsia"/>
          <w:sz w:val="28"/>
          <w:szCs w:val="28"/>
        </w:rPr>
        <w:t>无</w:t>
      </w:r>
    </w:p>
    <w:p w14:paraId="49F91E6A" w14:textId="00367462" w:rsidR="00611559" w:rsidRDefault="00000000">
      <w:pPr>
        <w:pStyle w:val="2"/>
        <w:adjustRightInd w:val="0"/>
        <w:snapToGrid w:val="0"/>
        <w:spacing w:before="0" w:after="0" w:line="579" w:lineRule="exact"/>
        <w:ind w:firstLineChars="200" w:firstLine="600"/>
        <w:rPr>
          <w:rFonts w:ascii="楷体_GB2312" w:eastAsia="楷体_GB2312" w:hAnsi="黑体" w:hint="eastAsia"/>
          <w:b w:val="0"/>
          <w:bCs w:val="0"/>
          <w:sz w:val="30"/>
          <w:szCs w:val="30"/>
        </w:rPr>
      </w:pPr>
      <w:r>
        <w:rPr>
          <w:rFonts w:ascii="楷体_GB2312" w:eastAsia="楷体_GB2312" w:hAnsi="黑体" w:hint="eastAsia"/>
          <w:b w:val="0"/>
          <w:bCs w:val="0"/>
          <w:sz w:val="30"/>
          <w:szCs w:val="30"/>
        </w:rPr>
        <w:t>二、评分标准</w:t>
      </w:r>
    </w:p>
    <w:p w14:paraId="75109B61" w14:textId="6A81E204" w:rsidR="00611559" w:rsidRPr="001A3FC3" w:rsidRDefault="00DB4066" w:rsidP="001A3FC3">
      <w:pPr>
        <w:widowControl/>
        <w:adjustRightInd w:val="0"/>
        <w:snapToGrid w:val="0"/>
        <w:spacing w:line="579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 w:rsidRPr="001A3FC3">
        <w:rPr>
          <w:rFonts w:ascii="仿宋_GB2312" w:eastAsia="仿宋_GB2312" w:hAnsi="黑体" w:hint="eastAsia"/>
          <w:sz w:val="28"/>
          <w:szCs w:val="28"/>
        </w:rPr>
        <w:t>获胜条件依据“人人模式下对抗得分”为准。</w:t>
      </w:r>
    </w:p>
    <w:p w14:paraId="1925BC6C" w14:textId="7F9DA730" w:rsidR="00611559" w:rsidRDefault="00000000">
      <w:pPr>
        <w:pStyle w:val="3"/>
        <w:spacing w:before="0" w:after="0" w:line="579" w:lineRule="exact"/>
        <w:ind w:firstLineChars="200" w:firstLine="602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1、人</w:t>
      </w:r>
      <w:r w:rsidR="00993123">
        <w:rPr>
          <w:rFonts w:ascii="仿宋_GB2312" w:eastAsia="仿宋_GB2312" w:hAnsi="黑体" w:hint="eastAsia"/>
          <w:sz w:val="30"/>
          <w:szCs w:val="30"/>
        </w:rPr>
        <w:t>人</w:t>
      </w:r>
      <w:r>
        <w:rPr>
          <w:rFonts w:ascii="仿宋_GB2312" w:eastAsia="仿宋_GB2312" w:hAnsi="黑体" w:hint="eastAsia"/>
          <w:sz w:val="30"/>
          <w:szCs w:val="30"/>
        </w:rPr>
        <w:t>对抗得分</w:t>
      </w:r>
    </w:p>
    <w:p w14:paraId="024F2533" w14:textId="34E895DB" w:rsidR="00E111B2" w:rsidRDefault="00EC63AB" w:rsidP="001A3FC3">
      <w:pPr>
        <w:widowControl/>
        <w:adjustRightInd w:val="0"/>
        <w:snapToGrid w:val="0"/>
        <w:spacing w:line="579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预赛</w:t>
      </w:r>
      <w:r w:rsidR="00E111B2">
        <w:rPr>
          <w:rFonts w:ascii="仿宋_GB2312" w:eastAsia="仿宋_GB2312" w:hAnsi="黑体" w:hint="eastAsia"/>
          <w:sz w:val="28"/>
          <w:szCs w:val="28"/>
        </w:rPr>
        <w:t>：</w:t>
      </w:r>
      <w:r>
        <w:rPr>
          <w:rFonts w:ascii="仿宋_GB2312" w:eastAsia="仿宋_GB2312" w:hAnsi="黑体" w:hint="eastAsia"/>
          <w:sz w:val="28"/>
          <w:szCs w:val="28"/>
        </w:rPr>
        <w:t>预赛</w:t>
      </w:r>
      <w:r w:rsidR="00E111B2">
        <w:rPr>
          <w:rFonts w:ascii="仿宋_GB2312" w:eastAsia="仿宋_GB2312" w:hAnsi="黑体" w:hint="eastAsia"/>
          <w:sz w:val="28"/>
          <w:szCs w:val="28"/>
        </w:rPr>
        <w:t>阶段，</w:t>
      </w:r>
      <w:r w:rsidR="00BB650A">
        <w:rPr>
          <w:rFonts w:ascii="仿宋_GB2312" w:eastAsia="仿宋_GB2312" w:hAnsi="黑体" w:hint="eastAsia"/>
          <w:sz w:val="28"/>
          <w:szCs w:val="28"/>
        </w:rPr>
        <w:t>各参赛队伍分别与预设机器智能体进行对战，通过五个场次比赛的综合得分进行成绩排名，选取优秀队伍进入复赛</w:t>
      </w:r>
      <w:r w:rsidR="00EC6726">
        <w:rPr>
          <w:rFonts w:ascii="仿宋_GB2312" w:eastAsia="仿宋_GB2312" w:hAnsi="黑体" w:hint="eastAsia"/>
          <w:sz w:val="28"/>
          <w:szCs w:val="28"/>
        </w:rPr>
        <w:t>。</w:t>
      </w:r>
    </w:p>
    <w:p w14:paraId="3F942A2D" w14:textId="744E722E" w:rsidR="00980D9B" w:rsidRDefault="00EC6726" w:rsidP="001A3FC3">
      <w:pPr>
        <w:widowControl/>
        <w:adjustRightInd w:val="0"/>
        <w:snapToGrid w:val="0"/>
        <w:spacing w:line="579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复赛：</w:t>
      </w:r>
      <w:r w:rsidR="00BB650A">
        <w:rPr>
          <w:rFonts w:ascii="仿宋_GB2312" w:eastAsia="仿宋_GB2312" w:hAnsi="黑体" w:hint="eastAsia"/>
          <w:sz w:val="28"/>
          <w:szCs w:val="28"/>
        </w:rPr>
        <w:t>入围复赛队伍将随机分成多个小组，每个小组由四个队伍组成，小组内的队伍通过循环对抗赛遴选第一名队伍晋级决赛。</w:t>
      </w:r>
    </w:p>
    <w:p w14:paraId="7514273F" w14:textId="0C477FBE" w:rsidR="00EC6726" w:rsidRPr="001A3FC3" w:rsidRDefault="00EC6726" w:rsidP="001A3FC3">
      <w:pPr>
        <w:widowControl/>
        <w:adjustRightInd w:val="0"/>
        <w:snapToGrid w:val="0"/>
        <w:spacing w:line="579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决赛：</w:t>
      </w:r>
      <w:r w:rsidR="00BB650A">
        <w:rPr>
          <w:rFonts w:ascii="仿宋_GB2312" w:eastAsia="仿宋_GB2312" w:hAnsi="黑体" w:hint="eastAsia"/>
          <w:sz w:val="28"/>
          <w:szCs w:val="28"/>
        </w:rPr>
        <w:t>通过淘汰赛方式组织，遴选推荐优秀</w:t>
      </w:r>
      <w:r w:rsidR="00DE340F">
        <w:rPr>
          <w:rFonts w:ascii="仿宋_GB2312" w:eastAsia="仿宋_GB2312" w:hAnsi="黑体" w:hint="eastAsia"/>
          <w:sz w:val="28"/>
          <w:szCs w:val="28"/>
        </w:rPr>
        <w:t>队伍晋级第八届</w:t>
      </w:r>
      <w:proofErr w:type="gramStart"/>
      <w:r w:rsidR="00DE340F">
        <w:rPr>
          <w:rFonts w:ascii="仿宋_GB2312" w:eastAsia="仿宋_GB2312" w:hAnsi="黑体" w:hint="eastAsia"/>
          <w:sz w:val="28"/>
          <w:szCs w:val="28"/>
        </w:rPr>
        <w:t>全国兵棋推演</w:t>
      </w:r>
      <w:proofErr w:type="gramEnd"/>
      <w:r w:rsidR="00DE340F">
        <w:rPr>
          <w:rFonts w:ascii="仿宋_GB2312" w:eastAsia="仿宋_GB2312" w:hAnsi="黑体" w:hint="eastAsia"/>
          <w:sz w:val="28"/>
          <w:szCs w:val="28"/>
        </w:rPr>
        <w:t>大赛全国赛阶段。</w:t>
      </w:r>
    </w:p>
    <w:p w14:paraId="15412627" w14:textId="29453CFB" w:rsidR="00611559" w:rsidRDefault="00980D9B">
      <w:pPr>
        <w:pStyle w:val="3"/>
        <w:spacing w:before="0" w:after="0" w:line="579" w:lineRule="exact"/>
        <w:ind w:firstLineChars="200" w:firstLine="602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2、各阶段评分原则</w:t>
      </w:r>
    </w:p>
    <w:p w14:paraId="4F183006" w14:textId="3BA3461D" w:rsidR="00611559" w:rsidRPr="001A3FC3" w:rsidRDefault="00EC63AB" w:rsidP="001A3FC3">
      <w:pPr>
        <w:widowControl/>
        <w:adjustRightInd w:val="0"/>
        <w:snapToGrid w:val="0"/>
        <w:spacing w:line="579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预赛</w:t>
      </w:r>
      <w:r w:rsidR="00010DA5" w:rsidRPr="001A3FC3">
        <w:rPr>
          <w:rFonts w:ascii="仿宋_GB2312" w:eastAsia="仿宋_GB2312" w:hAnsi="黑体" w:hint="eastAsia"/>
          <w:sz w:val="28"/>
          <w:szCs w:val="28"/>
        </w:rPr>
        <w:t>、</w:t>
      </w:r>
      <w:r>
        <w:rPr>
          <w:rFonts w:ascii="仿宋_GB2312" w:eastAsia="仿宋_GB2312" w:hAnsi="黑体" w:hint="eastAsia"/>
          <w:sz w:val="28"/>
          <w:szCs w:val="28"/>
        </w:rPr>
        <w:t>复</w:t>
      </w:r>
      <w:r w:rsidR="00010DA5" w:rsidRPr="001A3FC3">
        <w:rPr>
          <w:rFonts w:ascii="仿宋_GB2312" w:eastAsia="仿宋_GB2312" w:hAnsi="黑体" w:hint="eastAsia"/>
          <w:sz w:val="28"/>
          <w:szCs w:val="28"/>
        </w:rPr>
        <w:t>赛和决赛</w:t>
      </w:r>
      <w:r>
        <w:rPr>
          <w:rFonts w:ascii="仿宋_GB2312" w:eastAsia="仿宋_GB2312" w:hAnsi="黑体" w:hint="eastAsia"/>
          <w:sz w:val="28"/>
          <w:szCs w:val="28"/>
        </w:rPr>
        <w:t>依据</w:t>
      </w:r>
      <w:r>
        <w:rPr>
          <w:rFonts w:ascii="仿宋_GB2312" w:eastAsia="仿宋_GB2312" w:hAnsi="黑体" w:hint="eastAsia"/>
          <w:sz w:val="28"/>
          <w:szCs w:val="28"/>
        </w:rPr>
        <w:t>详细得分表</w:t>
      </w:r>
      <w:r w:rsidR="00010DA5" w:rsidRPr="001A3FC3">
        <w:rPr>
          <w:rFonts w:ascii="仿宋_GB2312" w:eastAsia="仿宋_GB2312" w:hAnsi="黑体" w:hint="eastAsia"/>
          <w:sz w:val="28"/>
          <w:szCs w:val="28"/>
        </w:rPr>
        <w:t>作为评分依据。</w:t>
      </w:r>
    </w:p>
    <w:p w14:paraId="6DF747D8" w14:textId="79706C67" w:rsidR="00611559" w:rsidRDefault="00010DA5">
      <w:pPr>
        <w:widowControl/>
        <w:adjustRightInd w:val="0"/>
        <w:snapToGrid w:val="0"/>
        <w:spacing w:line="579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详细得分表请看</w:t>
      </w:r>
      <w:r w:rsidR="00DC592C">
        <w:rPr>
          <w:rFonts w:ascii="仿宋_GB2312" w:eastAsia="仿宋_GB2312" w:hAnsi="黑体" w:hint="eastAsia"/>
          <w:sz w:val="28"/>
          <w:szCs w:val="28"/>
        </w:rPr>
        <w:t>比赛</w:t>
      </w:r>
      <w:r>
        <w:rPr>
          <w:rFonts w:ascii="仿宋_GB2312" w:eastAsia="仿宋_GB2312" w:hAnsi="黑体" w:hint="eastAsia"/>
          <w:sz w:val="28"/>
          <w:szCs w:val="28"/>
        </w:rPr>
        <w:t>想定</w:t>
      </w:r>
      <w:r w:rsidR="00DC592C">
        <w:rPr>
          <w:rFonts w:ascii="仿宋_GB2312" w:eastAsia="仿宋_GB2312" w:hAnsi="黑体" w:hint="eastAsia"/>
          <w:sz w:val="28"/>
          <w:szCs w:val="28"/>
        </w:rPr>
        <w:t>文档</w:t>
      </w:r>
      <w:r w:rsidR="00D55064">
        <w:rPr>
          <w:rFonts w:ascii="仿宋_GB2312" w:eastAsia="仿宋_GB2312" w:hAnsi="黑体" w:hint="eastAsia"/>
          <w:sz w:val="28"/>
          <w:szCs w:val="28"/>
        </w:rPr>
        <w:t>《</w:t>
      </w:r>
      <w:r w:rsidR="00D55064" w:rsidRPr="00D55064">
        <w:rPr>
          <w:rFonts w:ascii="仿宋_GB2312" w:eastAsia="仿宋_GB2312" w:hAnsi="黑体" w:hint="eastAsia"/>
          <w:sz w:val="28"/>
          <w:szCs w:val="28"/>
        </w:rPr>
        <w:t>想定介绍—萨哈林冲突</w:t>
      </w:r>
      <w:r w:rsidR="00D55064">
        <w:rPr>
          <w:rFonts w:ascii="仿宋_GB2312" w:eastAsia="仿宋_GB2312" w:hAnsi="黑体" w:hint="eastAsia"/>
          <w:sz w:val="28"/>
          <w:szCs w:val="28"/>
        </w:rPr>
        <w:t>》</w:t>
      </w:r>
      <w:r w:rsidR="00DC592C">
        <w:rPr>
          <w:rFonts w:ascii="仿宋_GB2312" w:eastAsia="仿宋_GB2312" w:hAnsi="黑体" w:hint="eastAsia"/>
          <w:sz w:val="28"/>
          <w:szCs w:val="28"/>
        </w:rPr>
        <w:t>。</w:t>
      </w:r>
    </w:p>
    <w:p w14:paraId="6883FD4E" w14:textId="1DE0ABA7" w:rsidR="00B311ED" w:rsidRPr="00B311ED" w:rsidRDefault="00B311ED" w:rsidP="00B311ED">
      <w:pPr>
        <w:pStyle w:val="3"/>
        <w:spacing w:before="0" w:after="0" w:line="579" w:lineRule="exact"/>
        <w:ind w:firstLineChars="200" w:firstLine="602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3</w:t>
      </w:r>
      <w:r w:rsidRPr="00B311ED">
        <w:rPr>
          <w:rFonts w:ascii="仿宋_GB2312" w:eastAsia="仿宋_GB2312" w:hAnsi="黑体"/>
          <w:sz w:val="30"/>
          <w:szCs w:val="30"/>
        </w:rPr>
        <w:t>、比赛阶段</w:t>
      </w:r>
      <w:r w:rsidR="00690B1C">
        <w:rPr>
          <w:rFonts w:ascii="仿宋_GB2312" w:eastAsia="仿宋_GB2312" w:hAnsi="黑体" w:hint="eastAsia"/>
          <w:sz w:val="30"/>
          <w:szCs w:val="30"/>
        </w:rPr>
        <w:t>目的</w:t>
      </w:r>
    </w:p>
    <w:p w14:paraId="2654E8FC" w14:textId="399D5556" w:rsidR="00B311ED" w:rsidRPr="00B311ED" w:rsidRDefault="00EC63AB" w:rsidP="00B311ED">
      <w:pPr>
        <w:widowControl/>
        <w:adjustRightInd w:val="0"/>
        <w:snapToGrid w:val="0"/>
        <w:spacing w:line="579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预赛</w:t>
      </w:r>
      <w:r w:rsidR="00B311ED" w:rsidRPr="00B311ED">
        <w:rPr>
          <w:rFonts w:ascii="仿宋_GB2312" w:eastAsia="仿宋_GB2312" w:hAnsi="黑体" w:hint="eastAsia"/>
          <w:sz w:val="28"/>
          <w:szCs w:val="28"/>
        </w:rPr>
        <w:t>阶段：</w:t>
      </w:r>
    </w:p>
    <w:p w14:paraId="227AE2B1" w14:textId="77777777" w:rsidR="00B311ED" w:rsidRPr="00B311ED" w:rsidRDefault="00B311ED" w:rsidP="00B311ED">
      <w:pPr>
        <w:widowControl/>
        <w:adjustRightInd w:val="0"/>
        <w:snapToGrid w:val="0"/>
        <w:spacing w:line="579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 w:rsidRPr="00B311ED">
        <w:rPr>
          <w:rFonts w:ascii="仿宋_GB2312" w:eastAsia="仿宋_GB2312" w:hAnsi="黑体" w:hint="eastAsia"/>
          <w:sz w:val="28"/>
          <w:szCs w:val="28"/>
        </w:rPr>
        <w:t>目的：筛选出具备基本策略理解和实战操作能力的参赛者。此阶段鼓励探索多样化的战术布局与初步策略尝试。</w:t>
      </w:r>
    </w:p>
    <w:p w14:paraId="35A2DA8B" w14:textId="6B46BB2D" w:rsidR="00B311ED" w:rsidRPr="00B311ED" w:rsidRDefault="0035472A" w:rsidP="00B311ED">
      <w:pPr>
        <w:widowControl/>
        <w:adjustRightInd w:val="0"/>
        <w:snapToGrid w:val="0"/>
        <w:spacing w:line="579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 w:rsidRPr="0035472A">
        <w:rPr>
          <w:rFonts w:ascii="仿宋_GB2312" w:eastAsia="仿宋_GB2312" w:hAnsi="黑体" w:hint="eastAsia"/>
          <w:sz w:val="28"/>
          <w:szCs w:val="28"/>
        </w:rPr>
        <w:t>复赛</w:t>
      </w:r>
      <w:r w:rsidR="00B311ED" w:rsidRPr="00B311ED">
        <w:rPr>
          <w:rFonts w:ascii="仿宋_GB2312" w:eastAsia="仿宋_GB2312" w:hAnsi="黑体" w:hint="eastAsia"/>
          <w:sz w:val="28"/>
          <w:szCs w:val="28"/>
        </w:rPr>
        <w:t>阶段：</w:t>
      </w:r>
    </w:p>
    <w:p w14:paraId="43A6C73C" w14:textId="77777777" w:rsidR="00B311ED" w:rsidRPr="00B311ED" w:rsidRDefault="00B311ED" w:rsidP="00B311ED">
      <w:pPr>
        <w:widowControl/>
        <w:adjustRightInd w:val="0"/>
        <w:snapToGrid w:val="0"/>
        <w:spacing w:line="579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 w:rsidRPr="00B311ED">
        <w:rPr>
          <w:rFonts w:ascii="仿宋_GB2312" w:eastAsia="仿宋_GB2312" w:hAnsi="黑体" w:hint="eastAsia"/>
          <w:sz w:val="28"/>
          <w:szCs w:val="28"/>
        </w:rPr>
        <w:t>目标：进一步考验选手的策略深度、应变能力和对游戏机制的精细掌握。此阶段策略的复杂度与执行效率成为胜负关键。</w:t>
      </w:r>
    </w:p>
    <w:p w14:paraId="677F9D06" w14:textId="6F629734" w:rsidR="00B311ED" w:rsidRPr="00B311ED" w:rsidRDefault="0035472A" w:rsidP="00B311ED">
      <w:pPr>
        <w:widowControl/>
        <w:adjustRightInd w:val="0"/>
        <w:snapToGrid w:val="0"/>
        <w:spacing w:line="579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总</w:t>
      </w:r>
      <w:r w:rsidR="00B311ED" w:rsidRPr="00B311ED">
        <w:rPr>
          <w:rFonts w:ascii="仿宋_GB2312" w:eastAsia="仿宋_GB2312" w:hAnsi="黑体" w:hint="eastAsia"/>
          <w:sz w:val="28"/>
          <w:szCs w:val="28"/>
        </w:rPr>
        <w:t>决赛阶段：</w:t>
      </w:r>
    </w:p>
    <w:p w14:paraId="41848AEA" w14:textId="29A19510" w:rsidR="00B311ED" w:rsidRDefault="00C4058E" w:rsidP="00C4058E">
      <w:pPr>
        <w:widowControl/>
        <w:adjustRightInd w:val="0"/>
        <w:snapToGrid w:val="0"/>
        <w:spacing w:line="579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目的</w:t>
      </w:r>
      <w:r w:rsidR="00B311ED" w:rsidRPr="00B311ED">
        <w:rPr>
          <w:rFonts w:ascii="仿宋_GB2312" w:eastAsia="仿宋_GB2312" w:hAnsi="黑体" w:hint="eastAsia"/>
          <w:sz w:val="28"/>
          <w:szCs w:val="28"/>
        </w:rPr>
        <w:t>：</w:t>
      </w:r>
      <w:r>
        <w:rPr>
          <w:rFonts w:ascii="仿宋_GB2312" w:eastAsia="仿宋_GB2312" w:hAnsi="黑体" w:hint="eastAsia"/>
          <w:sz w:val="28"/>
          <w:szCs w:val="28"/>
        </w:rPr>
        <w:t>决赛阶段不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以灵弈平台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为比赛平台。</w:t>
      </w:r>
    </w:p>
    <w:p w14:paraId="04932BC8" w14:textId="264CA91F" w:rsidR="009B567F" w:rsidRPr="009B567F" w:rsidRDefault="009B567F" w:rsidP="009B567F">
      <w:pPr>
        <w:pStyle w:val="3"/>
        <w:spacing w:before="0" w:after="0" w:line="579" w:lineRule="exact"/>
        <w:ind w:firstLineChars="200" w:firstLine="602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4</w:t>
      </w:r>
      <w:r w:rsidRPr="009B567F">
        <w:rPr>
          <w:rFonts w:ascii="仿宋_GB2312" w:eastAsia="仿宋_GB2312" w:hAnsi="黑体"/>
          <w:sz w:val="30"/>
          <w:szCs w:val="30"/>
        </w:rPr>
        <w:t>、策略与技巧指导</w:t>
      </w:r>
    </w:p>
    <w:p w14:paraId="1D03594C" w14:textId="77777777" w:rsidR="009B567F" w:rsidRPr="009B567F" w:rsidRDefault="009B567F" w:rsidP="009B567F">
      <w:pPr>
        <w:pStyle w:val="a7"/>
        <w:widowControl/>
        <w:numPr>
          <w:ilvl w:val="0"/>
          <w:numId w:val="2"/>
        </w:numPr>
        <w:adjustRightInd w:val="0"/>
        <w:snapToGrid w:val="0"/>
        <w:spacing w:line="579" w:lineRule="exact"/>
        <w:ind w:firstLineChars="0"/>
        <w:jc w:val="left"/>
        <w:rPr>
          <w:rFonts w:ascii="仿宋_GB2312" w:eastAsia="仿宋_GB2312" w:hAnsi="黑体" w:hint="eastAsia"/>
          <w:sz w:val="28"/>
          <w:szCs w:val="28"/>
        </w:rPr>
      </w:pPr>
      <w:r w:rsidRPr="009B567F">
        <w:rPr>
          <w:rFonts w:ascii="仿宋_GB2312" w:eastAsia="仿宋_GB2312" w:hAnsi="黑体"/>
          <w:sz w:val="28"/>
          <w:szCs w:val="28"/>
        </w:rPr>
        <w:t>资源管理：合理分配初期资源，确保关键单位的及时部署与升级，是基础中的基础。</w:t>
      </w:r>
    </w:p>
    <w:p w14:paraId="24857095" w14:textId="77777777" w:rsidR="009B567F" w:rsidRPr="009B567F" w:rsidRDefault="009B567F" w:rsidP="009B567F">
      <w:pPr>
        <w:pStyle w:val="a7"/>
        <w:widowControl/>
        <w:numPr>
          <w:ilvl w:val="0"/>
          <w:numId w:val="2"/>
        </w:numPr>
        <w:adjustRightInd w:val="0"/>
        <w:snapToGrid w:val="0"/>
        <w:spacing w:line="579" w:lineRule="exact"/>
        <w:ind w:firstLineChars="0"/>
        <w:jc w:val="left"/>
        <w:rPr>
          <w:rFonts w:ascii="仿宋_GB2312" w:eastAsia="仿宋_GB2312" w:hAnsi="黑体" w:hint="eastAsia"/>
          <w:sz w:val="28"/>
          <w:szCs w:val="28"/>
        </w:rPr>
      </w:pPr>
      <w:r w:rsidRPr="009B567F">
        <w:rPr>
          <w:rFonts w:ascii="仿宋_GB2312" w:eastAsia="仿宋_GB2312" w:hAnsi="黑体"/>
          <w:sz w:val="28"/>
          <w:szCs w:val="28"/>
        </w:rPr>
        <w:t>地形利用：熟悉地图特性，有效利用地形优势进行伏击或防守，可以事半功倍。</w:t>
      </w:r>
    </w:p>
    <w:p w14:paraId="2E3CD1E8" w14:textId="77777777" w:rsidR="009B567F" w:rsidRPr="009B567F" w:rsidRDefault="009B567F" w:rsidP="009B567F">
      <w:pPr>
        <w:pStyle w:val="a7"/>
        <w:widowControl/>
        <w:numPr>
          <w:ilvl w:val="0"/>
          <w:numId w:val="2"/>
        </w:numPr>
        <w:adjustRightInd w:val="0"/>
        <w:snapToGrid w:val="0"/>
        <w:spacing w:line="579" w:lineRule="exact"/>
        <w:ind w:firstLineChars="0"/>
        <w:jc w:val="left"/>
        <w:rPr>
          <w:rFonts w:ascii="仿宋_GB2312" w:eastAsia="仿宋_GB2312" w:hAnsi="黑体" w:hint="eastAsia"/>
          <w:sz w:val="28"/>
          <w:szCs w:val="28"/>
        </w:rPr>
      </w:pPr>
      <w:r w:rsidRPr="009B567F">
        <w:rPr>
          <w:rFonts w:ascii="仿宋_GB2312" w:eastAsia="仿宋_GB2312" w:hAnsi="黑体"/>
          <w:sz w:val="28"/>
          <w:szCs w:val="28"/>
        </w:rPr>
        <w:t>心理博弈：观察并预测对手的行动模式，适时调整自己的策略，实施误导或诱导对手犯错。</w:t>
      </w:r>
    </w:p>
    <w:p w14:paraId="6E4D7996" w14:textId="77777777" w:rsidR="009B567F" w:rsidRPr="009B567F" w:rsidRDefault="009B567F" w:rsidP="009B567F">
      <w:pPr>
        <w:pStyle w:val="a7"/>
        <w:widowControl/>
        <w:numPr>
          <w:ilvl w:val="0"/>
          <w:numId w:val="2"/>
        </w:numPr>
        <w:adjustRightInd w:val="0"/>
        <w:snapToGrid w:val="0"/>
        <w:spacing w:line="579" w:lineRule="exact"/>
        <w:ind w:firstLineChars="0"/>
        <w:jc w:val="left"/>
        <w:rPr>
          <w:rFonts w:ascii="仿宋_GB2312" w:eastAsia="仿宋_GB2312" w:hAnsi="黑体" w:hint="eastAsia"/>
          <w:sz w:val="28"/>
          <w:szCs w:val="28"/>
        </w:rPr>
      </w:pPr>
      <w:r w:rsidRPr="009B567F">
        <w:rPr>
          <w:rFonts w:ascii="仿宋_GB2312" w:eastAsia="仿宋_GB2312" w:hAnsi="黑体"/>
          <w:sz w:val="28"/>
          <w:szCs w:val="28"/>
        </w:rPr>
        <w:t>多元化策略：准备多套战术方案，根据对手风格和战场态势灵活切换，避免被对手预判。</w:t>
      </w:r>
    </w:p>
    <w:p w14:paraId="2D3E5433" w14:textId="77777777" w:rsidR="009B567F" w:rsidRPr="009B567F" w:rsidRDefault="009B567F" w:rsidP="00B23279">
      <w:pPr>
        <w:pStyle w:val="a7"/>
        <w:widowControl/>
        <w:numPr>
          <w:ilvl w:val="0"/>
          <w:numId w:val="2"/>
        </w:numPr>
        <w:adjustRightInd w:val="0"/>
        <w:snapToGrid w:val="0"/>
        <w:spacing w:line="579" w:lineRule="exact"/>
        <w:ind w:firstLineChars="0"/>
        <w:jc w:val="left"/>
        <w:rPr>
          <w:rFonts w:ascii="仿宋_GB2312" w:eastAsia="仿宋_GB2312" w:hAnsi="黑体" w:hint="eastAsia"/>
          <w:sz w:val="28"/>
          <w:szCs w:val="28"/>
        </w:rPr>
      </w:pPr>
      <w:r w:rsidRPr="009B567F">
        <w:rPr>
          <w:rFonts w:ascii="仿宋_GB2312" w:eastAsia="仿宋_GB2312" w:hAnsi="黑体"/>
          <w:sz w:val="28"/>
          <w:szCs w:val="28"/>
        </w:rPr>
        <w:t>防守的艺术：坚固的防守能为反击创造机会，合理布防，确保关键区域不失，是获胜的关键之一。</w:t>
      </w:r>
    </w:p>
    <w:sectPr w:rsidR="009B567F" w:rsidRPr="009B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229CC"/>
    <w:multiLevelType w:val="multilevel"/>
    <w:tmpl w:val="6D3A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40E31"/>
    <w:multiLevelType w:val="hybridMultilevel"/>
    <w:tmpl w:val="20D6F3DE"/>
    <w:lvl w:ilvl="0" w:tplc="04090001">
      <w:start w:val="1"/>
      <w:numFmt w:val="bullet"/>
      <w:lvlText w:val="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num w:numId="1" w16cid:durableId="777067197">
    <w:abstractNumId w:val="0"/>
  </w:num>
  <w:num w:numId="2" w16cid:durableId="139319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AA"/>
    <w:rsid w:val="00010DA5"/>
    <w:rsid w:val="00074DFF"/>
    <w:rsid w:val="000C2425"/>
    <w:rsid w:val="000D7252"/>
    <w:rsid w:val="000E44A7"/>
    <w:rsid w:val="00167628"/>
    <w:rsid w:val="0018061A"/>
    <w:rsid w:val="00191FE7"/>
    <w:rsid w:val="001A3FC3"/>
    <w:rsid w:val="001B532F"/>
    <w:rsid w:val="001D4C95"/>
    <w:rsid w:val="001E058C"/>
    <w:rsid w:val="002705DB"/>
    <w:rsid w:val="00281E2E"/>
    <w:rsid w:val="00317931"/>
    <w:rsid w:val="003416D9"/>
    <w:rsid w:val="0035472A"/>
    <w:rsid w:val="003B1EDF"/>
    <w:rsid w:val="00411079"/>
    <w:rsid w:val="004510D4"/>
    <w:rsid w:val="00470E0D"/>
    <w:rsid w:val="004D0704"/>
    <w:rsid w:val="004D615E"/>
    <w:rsid w:val="00534798"/>
    <w:rsid w:val="0055793F"/>
    <w:rsid w:val="005B62AE"/>
    <w:rsid w:val="005E5F93"/>
    <w:rsid w:val="00611559"/>
    <w:rsid w:val="006667FF"/>
    <w:rsid w:val="00690B1C"/>
    <w:rsid w:val="006A7F5A"/>
    <w:rsid w:val="006B0CD1"/>
    <w:rsid w:val="006D1B37"/>
    <w:rsid w:val="006F29D6"/>
    <w:rsid w:val="007C06EA"/>
    <w:rsid w:val="007E2069"/>
    <w:rsid w:val="007F3CC2"/>
    <w:rsid w:val="008D1D89"/>
    <w:rsid w:val="008D654A"/>
    <w:rsid w:val="00980D9B"/>
    <w:rsid w:val="00993123"/>
    <w:rsid w:val="009A00EE"/>
    <w:rsid w:val="009B567F"/>
    <w:rsid w:val="00A76E07"/>
    <w:rsid w:val="00AE0E5C"/>
    <w:rsid w:val="00AE165E"/>
    <w:rsid w:val="00B23279"/>
    <w:rsid w:val="00B311ED"/>
    <w:rsid w:val="00BB650A"/>
    <w:rsid w:val="00BB7373"/>
    <w:rsid w:val="00BB7EA2"/>
    <w:rsid w:val="00BD2FAA"/>
    <w:rsid w:val="00BE3FE4"/>
    <w:rsid w:val="00C4058E"/>
    <w:rsid w:val="00C74092"/>
    <w:rsid w:val="00CF155D"/>
    <w:rsid w:val="00D55064"/>
    <w:rsid w:val="00D6373A"/>
    <w:rsid w:val="00D7177C"/>
    <w:rsid w:val="00DB29C7"/>
    <w:rsid w:val="00DB4066"/>
    <w:rsid w:val="00DB70CF"/>
    <w:rsid w:val="00DC592C"/>
    <w:rsid w:val="00DE340F"/>
    <w:rsid w:val="00DE6488"/>
    <w:rsid w:val="00E111B2"/>
    <w:rsid w:val="00E11E47"/>
    <w:rsid w:val="00E13DF0"/>
    <w:rsid w:val="00E35758"/>
    <w:rsid w:val="00E84848"/>
    <w:rsid w:val="00E86B95"/>
    <w:rsid w:val="00E926A4"/>
    <w:rsid w:val="00EA2CAF"/>
    <w:rsid w:val="00EC63AB"/>
    <w:rsid w:val="00EC6726"/>
    <w:rsid w:val="0FC3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A526"/>
  <w15:docId w15:val="{2E5DCF47-C98E-4114-8C1A-A532728E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MTEquationSection">
    <w:name w:val="MTEquationSection"/>
    <w:basedOn w:val="a0"/>
    <w:qFormat/>
    <w:rPr>
      <w:rFonts w:ascii="方正小标宋简体" w:eastAsia="方正小标宋简体"/>
      <w:vanish/>
      <w:color w:val="FF0000"/>
      <w:sz w:val="36"/>
      <w:szCs w:val="36"/>
    </w:rPr>
  </w:style>
  <w:style w:type="paragraph" w:customStyle="1" w:styleId="MTDisplayEquation">
    <w:name w:val="MTDisplayEquation"/>
    <w:basedOn w:val="a"/>
    <w:next w:val="a"/>
    <w:link w:val="MTDisplayEquation0"/>
    <w:qFormat/>
    <w:pPr>
      <w:tabs>
        <w:tab w:val="center" w:pos="4160"/>
        <w:tab w:val="right" w:pos="8300"/>
      </w:tabs>
      <w:adjustRightInd w:val="0"/>
      <w:snapToGrid w:val="0"/>
      <w:spacing w:line="579" w:lineRule="exact"/>
      <w:ind w:firstLineChars="200" w:firstLine="600"/>
      <w:jc w:val="center"/>
    </w:pPr>
    <w:rPr>
      <w:rFonts w:ascii="仿宋_GB2312" w:eastAsia="仿宋_GB2312" w:hAnsi="黑体"/>
      <w:sz w:val="30"/>
      <w:szCs w:val="30"/>
    </w:rPr>
  </w:style>
  <w:style w:type="character" w:customStyle="1" w:styleId="MTDisplayEquation0">
    <w:name w:val="MTDisplayEquation 字符"/>
    <w:basedOn w:val="a0"/>
    <w:link w:val="MTDisplayEquation"/>
    <w:qFormat/>
    <w:rPr>
      <w:rFonts w:ascii="仿宋_GB2312" w:eastAsia="仿宋_GB2312" w:hAnsi="黑体"/>
      <w:sz w:val="30"/>
      <w:szCs w:val="30"/>
    </w:rPr>
  </w:style>
  <w:style w:type="paragraph" w:styleId="a8">
    <w:name w:val="Normal (Web)"/>
    <w:basedOn w:val="a"/>
    <w:uiPriority w:val="99"/>
    <w:semiHidden/>
    <w:unhideWhenUsed/>
    <w:rsid w:val="009B5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9B5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Keyu</dc:creator>
  <cp:lastModifiedBy> </cp:lastModifiedBy>
  <cp:revision>25</cp:revision>
  <dcterms:created xsi:type="dcterms:W3CDTF">2023-08-08T09:02:00Z</dcterms:created>
  <dcterms:modified xsi:type="dcterms:W3CDTF">2024-07-30T02:44:00Z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  <property fmtid="{D5CDD505-2E9C-101B-9397-08002B2CF9AE}" pid="5" name="KSOProductBuildVer">
    <vt:lpwstr>2052-12.1.0.15712</vt:lpwstr>
  </property>
  <property fmtid="{D5CDD505-2E9C-101B-9397-08002B2CF9AE}" pid="6" name="ICV">
    <vt:lpwstr>A16BA9168057416CB467191F8AAE228D_13</vt:lpwstr>
  </property>
</Properties>
</file>